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Puntúa 1,00 sobre 1,00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Cuál de las siguientes características no corresponde con una unidad de enfermería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8" type="#_x0000_t75" style="width:20.25pt;height:17.25pt" o:ole="">
            <v:imagedata r:id="rId5" o:title=""/>
          </v:shape>
          <w:control r:id="rId6" w:name="DefaultOcxName1" w:shapeid="_x0000_i112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Dispone de una cartera de servicios de productos intermedios.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31" type="#_x0000_t75" style="width:20.25pt;height:17.25pt" o:ole="">
            <v:imagedata r:id="rId5" o:title=""/>
          </v:shape>
          <w:control r:id="rId7" w:name="DefaultOcxName2" w:shapeid="_x0000_i113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Establece relaciones de compraventa de servicios con unidades clínicas.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34" type="#_x0000_t75" style="width:20.25pt;height:17.25pt" o:ole="">
            <v:imagedata r:id="rId5" o:title=""/>
          </v:shape>
          <w:control r:id="rId8" w:name="DefaultOcxName3" w:shapeid="_x0000_i113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Tiene capacidad para tomar decisiones respecto a la oferta de cuidados.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37" type="#_x0000_t75" style="width:20.25pt;height:17.25pt" o:ole="">
            <v:imagedata r:id="rId9" o:title=""/>
          </v:shape>
          <w:control r:id="rId10" w:name="DefaultOcxName4" w:shapeid="_x0000_i113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Negocia con los servicios clínicos, los objetivos e incentivos correspondientes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73A2B2A8" wp14:editId="7628A02E">
                <wp:extent cx="304800" cy="304800"/>
                <wp:effectExtent l="0" t="0" r="0" b="0"/>
                <wp:docPr id="20" name="AutoShape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2DA6DC6F" id="AutoShape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SmVa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Negocia con los servicios clínicos, los objetivos e incentivos correspondientes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2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Dentro de las características de la prestación del servicio enfermero, señale la incorrecta.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42" type="#_x0000_t75" style="width:20.25pt;height:17.25pt" o:ole="">
            <v:imagedata r:id="rId5" o:title=""/>
          </v:shape>
          <w:control r:id="rId11" w:name="DefaultOcxName6" w:shapeid="_x0000_i114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Es preciso que se adapte a las necesidades del cliente.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45" type="#_x0000_t75" style="width:20.25pt;height:17.25pt" o:ole="">
            <v:imagedata r:id="rId9" o:title=""/>
          </v:shape>
          <w:control r:id="rId12" w:name="DefaultOcxName7" w:shapeid="_x0000_i114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Sus costes directos tienen un peso irrelevante en el coste final.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24F11A94" wp14:editId="076285FA">
                <wp:extent cx="304800" cy="304800"/>
                <wp:effectExtent l="0" t="0" r="0" b="0"/>
                <wp:docPr id="19" name="AutoShape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7394CE05" id="AutoShape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oR9uw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yroR9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48" type="#_x0000_t75" style="width:20.25pt;height:17.25pt" o:ole="">
            <v:imagedata r:id="rId5" o:title=""/>
          </v:shape>
          <w:control r:id="rId13" w:name="DefaultOcxName8" w:shapeid="_x0000_i114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La finalización del mismo no condiciona el alta del paciente.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51" type="#_x0000_t75" style="width:20.25pt;height:17.25pt" o:ole="">
            <v:imagedata r:id="rId5" o:title=""/>
          </v:shape>
          <w:control r:id="rId14" w:name="DefaultOcxName9" w:shapeid="_x0000_i115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Influye de manera relevante en la calidad percibida.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Sus costes directos tienen un peso irrelevante en el coste final.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3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Puntúa 1,00 sobre 1,00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</w:rPr>
        <w:object w:dxaOrig="405" w:dyaOrig="345">
          <v:shape id="_x0000_i1153" type="#_x0000_t75" style="width:1in;height:1in" o:ole="">
            <v:imagedata r:id="rId15" o:title=""/>
          </v:shape>
          <w:control r:id="rId16" w:name="DefaultOcxName10" w:shapeid="_x0000_i1153"/>
        </w:object>
      </w:r>
      <w:r w:rsidRPr="006A75A9">
        <w:rPr>
          <w:rFonts w:asciiTheme="majorHAnsi" w:eastAsia="Times New Roman" w:hAnsiTheme="majorHAnsi" w:cs="Arial"/>
          <w:color w:val="3A3A3A"/>
          <w:lang w:eastAsia="es-ES"/>
        </w:rPr>
        <w:t>Marcar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Dentro de los modelos de enfermería de suplencia y ayuda se encuentra el de: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56" type="#_x0000_t75" style="width:20.25pt;height:17.25pt" o:ole="">
            <v:imagedata r:id="rId9" o:title=""/>
          </v:shape>
          <w:control r:id="rId17" w:name="DefaultOcxName11" w:shapeid="_x0000_i1156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a. Dorothea </w:t>
      </w:r>
      <w:proofErr w:type="spellStart"/>
      <w:r w:rsidRPr="006A75A9">
        <w:rPr>
          <w:rFonts w:asciiTheme="majorHAnsi" w:eastAsia="Times New Roman" w:hAnsiTheme="majorHAnsi" w:cs="Arial"/>
          <w:color w:val="31708F"/>
          <w:lang w:eastAsia="es-ES"/>
        </w:rPr>
        <w:t>Orem</w:t>
      </w:r>
      <w:proofErr w:type="spellEnd"/>
      <w:r w:rsidRPr="006A75A9">
        <w:rPr>
          <w:rFonts w:asciiTheme="majorHAnsi" w:eastAsia="Times New Roman" w:hAnsiTheme="majorHAnsi" w:cs="Arial"/>
          <w:color w:val="31708F"/>
          <w:lang w:eastAsia="es-ES"/>
        </w:rPr>
        <w:t>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435BDDD1" wp14:editId="066F19FF">
                <wp:extent cx="304800" cy="304800"/>
                <wp:effectExtent l="0" t="0" r="0" b="0"/>
                <wp:docPr id="18" name="AutoShape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5283E78B" id="AutoShape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Vb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VC9lW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59" type="#_x0000_t75" style="width:20.25pt;height:17.25pt" o:ole="">
            <v:imagedata r:id="rId5" o:title=""/>
          </v:shape>
          <w:control r:id="rId18" w:name="DefaultOcxName12" w:shapeid="_x0000_i115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b. Florence </w:t>
      </w:r>
      <w:proofErr w:type="spellStart"/>
      <w:r w:rsidRPr="006A75A9">
        <w:rPr>
          <w:rFonts w:asciiTheme="majorHAnsi" w:eastAsia="Times New Roman" w:hAnsiTheme="majorHAnsi" w:cs="Arial"/>
          <w:color w:val="31708F"/>
          <w:lang w:eastAsia="es-ES"/>
        </w:rPr>
        <w:t>Nighthingale</w:t>
      </w:r>
      <w:proofErr w:type="spellEnd"/>
      <w:r w:rsidRPr="006A75A9">
        <w:rPr>
          <w:rFonts w:asciiTheme="majorHAnsi" w:eastAsia="Times New Roman" w:hAnsiTheme="majorHAnsi" w:cs="Arial"/>
          <w:color w:val="31708F"/>
          <w:lang w:eastAsia="es-ES"/>
        </w:rPr>
        <w:t>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62" type="#_x0000_t75" style="width:20.25pt;height:17.25pt" o:ole="">
            <v:imagedata r:id="rId5" o:title=""/>
          </v:shape>
          <w:control r:id="rId19" w:name="DefaultOcxName13" w:shapeid="_x0000_i116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Callista Roy.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65" type="#_x0000_t75" style="width:20.25pt;height:17.25pt" o:ole="">
            <v:imagedata r:id="rId5" o:title=""/>
          </v:shape>
          <w:control r:id="rId20" w:name="DefaultOcxName14" w:shapeid="_x0000_i116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d. </w:t>
      </w:r>
      <w:proofErr w:type="spellStart"/>
      <w:r w:rsidRPr="006A75A9">
        <w:rPr>
          <w:rFonts w:asciiTheme="majorHAnsi" w:eastAsia="Times New Roman" w:hAnsiTheme="majorHAnsi" w:cs="Arial"/>
          <w:color w:val="31708F"/>
          <w:lang w:eastAsia="es-ES"/>
        </w:rPr>
        <w:t>Neuman</w:t>
      </w:r>
      <w:proofErr w:type="spellEnd"/>
      <w:r w:rsidRPr="006A75A9">
        <w:rPr>
          <w:rFonts w:asciiTheme="majorHAnsi" w:eastAsia="Times New Roman" w:hAnsiTheme="majorHAnsi" w:cs="Arial"/>
          <w:color w:val="31708F"/>
          <w:lang w:eastAsia="es-ES"/>
        </w:rPr>
        <w:t>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 xml:space="preserve">La respuesta correcta es: Dorothea </w:t>
      </w:r>
      <w:proofErr w:type="spellStart"/>
      <w:r w:rsidRPr="006A75A9">
        <w:rPr>
          <w:rFonts w:asciiTheme="majorHAnsi" w:eastAsia="Times New Roman" w:hAnsiTheme="majorHAnsi" w:cs="Arial"/>
          <w:color w:val="8A6D3B"/>
          <w:lang w:eastAsia="es-ES"/>
        </w:rPr>
        <w:t>Orem</w:t>
      </w:r>
      <w:proofErr w:type="spellEnd"/>
      <w:r w:rsidRPr="006A75A9">
        <w:rPr>
          <w:rFonts w:asciiTheme="majorHAnsi" w:eastAsia="Times New Roman" w:hAnsiTheme="majorHAnsi" w:cs="Arial"/>
          <w:color w:val="8A6D3B"/>
          <w:lang w:eastAsia="es-ES"/>
        </w:rPr>
        <w:t>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4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Puntúa 1,00 sobre 1,00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</w:rPr>
        <w:lastRenderedPageBreak/>
        <w:object w:dxaOrig="405" w:dyaOrig="345">
          <v:shape id="_x0000_i1167" type="#_x0000_t75" style="width:1in;height:1in" o:ole="">
            <v:imagedata r:id="rId15" o:title=""/>
          </v:shape>
          <w:control r:id="rId21" w:name="DefaultOcxName15" w:shapeid="_x0000_i1167"/>
        </w:object>
      </w:r>
      <w:r w:rsidRPr="006A75A9">
        <w:rPr>
          <w:rFonts w:asciiTheme="majorHAnsi" w:eastAsia="Times New Roman" w:hAnsiTheme="majorHAnsi" w:cs="Arial"/>
          <w:color w:val="3A3A3A"/>
          <w:lang w:eastAsia="es-ES"/>
        </w:rPr>
        <w:t>Marcar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Dentro de los valores de la división de enfermería la integridad tiene relación con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70" type="#_x0000_t75" style="width:20.25pt;height:17.25pt" o:ole="">
            <v:imagedata r:id="rId9" o:title=""/>
          </v:shape>
          <w:control r:id="rId22" w:name="DefaultOcxName16" w:shapeid="_x0000_i117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La ética y la credibilidad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77A4E7AB" wp14:editId="751EE42A">
                <wp:extent cx="304800" cy="304800"/>
                <wp:effectExtent l="0" t="0" r="0" b="0"/>
                <wp:docPr id="17" name="AutoShape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6F3A92B3" id="AutoShape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kN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zlGgvZQo7utld41I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eMYkN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73" type="#_x0000_t75" style="width:20.25pt;height:17.25pt" o:ole="">
            <v:imagedata r:id="rId5" o:title=""/>
          </v:shape>
          <w:control r:id="rId23" w:name="DefaultOcxName17" w:shapeid="_x0000_i117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La satisfacción del cliente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76" type="#_x0000_t75" style="width:20.25pt;height:17.25pt" o:ole="">
            <v:imagedata r:id="rId5" o:title=""/>
          </v:shape>
          <w:control r:id="rId24" w:name="DefaultOcxName18" w:shapeid="_x0000_i1176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La calidad de los cuidados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79" type="#_x0000_t75" style="width:20.25pt;height:17.25pt" o:ole="">
            <v:imagedata r:id="rId5" o:title=""/>
          </v:shape>
          <w:control r:id="rId25" w:name="DefaultOcxName19" w:shapeid="_x0000_i117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La mejora continua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La ética y la credibilidad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5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Puntúa 1,00 sobre 1,00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</w:rPr>
        <w:object w:dxaOrig="405" w:dyaOrig="345">
          <v:shape id="_x0000_i1181" type="#_x0000_t75" style="width:1in;height:1in" o:ole="">
            <v:imagedata r:id="rId15" o:title=""/>
          </v:shape>
          <w:control r:id="rId26" w:name="DefaultOcxName20" w:shapeid="_x0000_i1181"/>
        </w:object>
      </w:r>
      <w:r w:rsidRPr="006A75A9">
        <w:rPr>
          <w:rFonts w:asciiTheme="majorHAnsi" w:eastAsia="Times New Roman" w:hAnsiTheme="majorHAnsi" w:cs="Arial"/>
          <w:color w:val="3A3A3A"/>
          <w:lang w:eastAsia="es-ES"/>
        </w:rPr>
        <w:t>Marcar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El producto enfermero abarca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84" type="#_x0000_t75" style="width:20.25pt;height:17.25pt" o:ole="">
            <v:imagedata r:id="rId5" o:title=""/>
          </v:shape>
          <w:control r:id="rId27" w:name="DefaultOcxName21" w:shapeid="_x0000_i118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La actividad asistencial realizada por los servicios generales del hospital.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87" type="#_x0000_t75" style="width:20.25pt;height:17.25pt" o:ole="">
            <v:imagedata r:id="rId9" o:title=""/>
          </v:shape>
          <w:control r:id="rId28" w:name="DefaultOcxName22" w:shapeid="_x0000_i118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Las actividades de soporte y organización de las diferentes unidades de enfermería.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2A75E604" wp14:editId="7E6B42B9">
                <wp:extent cx="304800" cy="304800"/>
                <wp:effectExtent l="0" t="0" r="0" b="0"/>
                <wp:docPr id="16" name="AutoShape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7B6BF902" id="AutoShape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Ggr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+LBoK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90" type="#_x0000_t75" style="width:20.25pt;height:17.25pt" o:ole="">
            <v:imagedata r:id="rId5" o:title=""/>
          </v:shape>
          <w:control r:id="rId29" w:name="DefaultOcxName23" w:shapeid="_x0000_i119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Las actividades de formación del equipo médico.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193" type="#_x0000_t75" style="width:20.25pt;height:17.25pt" o:ole="">
            <v:imagedata r:id="rId5" o:title=""/>
          </v:shape>
          <w:control r:id="rId30" w:name="DefaultOcxName24" w:shapeid="_x0000_i119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Las actividades de investigación del equipo asistencial.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Las actividades de soporte y organización de las diferentes unidades de enfermería.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6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Puntúa 1,00 sobre 1,00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</w:rPr>
        <w:object w:dxaOrig="405" w:dyaOrig="345">
          <v:shape id="_x0000_i1195" type="#_x0000_t75" style="width:1in;height:1in" o:ole="">
            <v:imagedata r:id="rId15" o:title=""/>
          </v:shape>
          <w:control r:id="rId31" w:name="DefaultOcxName25" w:shapeid="_x0000_i1195"/>
        </w:object>
      </w:r>
      <w:r w:rsidRPr="006A75A9">
        <w:rPr>
          <w:rFonts w:asciiTheme="majorHAnsi" w:eastAsia="Times New Roman" w:hAnsiTheme="majorHAnsi" w:cs="Arial"/>
          <w:color w:val="3A3A3A"/>
          <w:lang w:eastAsia="es-ES"/>
        </w:rPr>
        <w:t>Marcar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El proyecto de Normalización de Intervenciones para la práctica de la enfermería (NIPE), pretende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lastRenderedPageBreak/>
        <w:object w:dxaOrig="405" w:dyaOrig="345">
          <v:shape id="_x0000_i1198" type="#_x0000_t75" style="width:20.25pt;height:17.25pt" o:ole="">
            <v:imagedata r:id="rId5" o:title=""/>
          </v:shape>
          <w:control r:id="rId32" w:name="DefaultOcxName26" w:shapeid="_x0000_i119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Desarrollar un instrumento de medida de indicadores de calidad, ligados a la infección nosocomial.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01" type="#_x0000_t75" style="width:20.25pt;height:17.25pt" o:ole="">
            <v:imagedata r:id="rId5" o:title=""/>
          </v:shape>
          <w:control r:id="rId33" w:name="DefaultOcxName27" w:shapeid="_x0000_i120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La metodología general se basa en el uso del conjunto mínimo de la base de datos (CMBD).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04" type="#_x0000_t75" style="width:20.25pt;height:17.25pt" o:ole="">
            <v:imagedata r:id="rId5" o:title=""/>
          </v:shape>
          <w:control r:id="rId34" w:name="DefaultOcxName28" w:shapeid="_x0000_i120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La valoración de enfermería se hace siguiendo la propuesta de Virginia Henderson.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07" type="#_x0000_t75" style="width:20.25pt;height:17.25pt" o:ole="">
            <v:imagedata r:id="rId9" o:title=""/>
          </v:shape>
          <w:control r:id="rId35" w:name="DefaultOcxName29" w:shapeid="_x0000_i120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Pretende la normalización de la práctica de la enfermería y la estimación de costes generados.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78F0C0FA" wp14:editId="641711EA">
                <wp:extent cx="304800" cy="304800"/>
                <wp:effectExtent l="0" t="0" r="0" b="0"/>
                <wp:docPr id="15" name="AutoShape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3AC42511" id="AutoShape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kpA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EjJKQ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Pretende la normalización de la práctica de la enfermería y la estimación de costes generados.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7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 el desarrollo de una política de recursos humanos, señalar la incorrecta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12" type="#_x0000_t75" style="width:20.25pt;height:17.25pt" o:ole="">
            <v:imagedata r:id="rId5" o:title=""/>
          </v:shape>
          <w:control r:id="rId36" w:name="DefaultOcxName31" w:shapeid="_x0000_i121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Es necesaria la selección y promoción de profesionales.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15" type="#_x0000_t75" style="width:20.25pt;height:17.25pt" o:ole="">
            <v:imagedata r:id="rId5" o:title=""/>
          </v:shape>
          <w:control r:id="rId37" w:name="DefaultOcxName32" w:shapeid="_x0000_i121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Es necesaria la comunicación interna.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18" type="#_x0000_t75" style="width:20.25pt;height:17.25pt" o:ole="">
            <v:imagedata r:id="rId5" o:title=""/>
          </v:shape>
          <w:control r:id="rId38" w:name="DefaultOcxName33" w:shapeid="_x0000_i121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Desarrollar la motivación del equipo.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21" type="#_x0000_t75" style="width:20.25pt;height:17.25pt" o:ole="">
            <v:imagedata r:id="rId9" o:title=""/>
          </v:shape>
          <w:control r:id="rId39" w:name="DefaultOcxName34" w:shapeid="_x0000_i122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Potenciar el trabajo por estamentos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59914DF8" wp14:editId="656F4698">
                <wp:extent cx="304800" cy="304800"/>
                <wp:effectExtent l="0" t="0" r="0" b="0"/>
                <wp:docPr id="14" name="AutoShape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63C39A33" id="AutoShape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6tm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4KRoD3U6G5rpXeN5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0s6tm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Potenciar el trabajo por estamentos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8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Puntúa 1,00 sobre 1,00</w:t>
      </w:r>
    </w:p>
    <w:p w:rsidR="002651B1" w:rsidRPr="006A75A9" w:rsidRDefault="002651B1" w:rsidP="002012D8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 el establecimiento de un plan de cuidados, debemos seguir el proceso de atención de enfermería, señale la respuesta incorrecta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26" type="#_x0000_t75" style="width:20.25pt;height:17.25pt" o:ole="">
            <v:imagedata r:id="rId5" o:title=""/>
          </v:shape>
          <w:control r:id="rId40" w:name="DefaultOcxName36" w:shapeid="_x0000_i1226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Se realizará la valoración de las alteraciones de las necesidades básicas.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29" type="#_x0000_t75" style="width:20.25pt;height:17.25pt" o:ole="">
            <v:imagedata r:id="rId5" o:title=""/>
          </v:shape>
          <w:control r:id="rId41" w:name="DefaultOcxName37" w:shapeid="_x0000_i122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Se definirán las actividades e intervenciones enfermeras.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32" type="#_x0000_t75" style="width:20.25pt;height:17.25pt" o:ole="">
            <v:imagedata r:id="rId9" o:title=""/>
          </v:shape>
          <w:control r:id="rId42" w:name="DefaultOcxName38" w:shapeid="_x0000_i123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Se realizará la evaluación de las expectativas del paciente.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402313CA" wp14:editId="41077B4D">
                <wp:extent cx="304800" cy="304800"/>
                <wp:effectExtent l="0" t="0" r="0" b="0"/>
                <wp:docPr id="13" name="AutoShape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69751456" id="AutoShape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rc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z6Y63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35" type="#_x0000_t75" style="width:20.25pt;height:17.25pt" o:ole="">
            <v:imagedata r:id="rId5" o:title=""/>
          </v:shape>
          <w:control r:id="rId43" w:name="DefaultOcxName39" w:shapeid="_x0000_i123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d. Se </w:t>
      </w:r>
      <w:proofErr w:type="gramStart"/>
      <w:r w:rsidRPr="006A75A9">
        <w:rPr>
          <w:rFonts w:asciiTheme="majorHAnsi" w:eastAsia="Times New Roman" w:hAnsiTheme="majorHAnsi" w:cs="Arial"/>
          <w:color w:val="31708F"/>
          <w:lang w:eastAsia="es-ES"/>
        </w:rPr>
        <w:t>formularan</w:t>
      </w:r>
      <w:proofErr w:type="gramEnd"/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 los problemas en términos de diagnósticos según la taxonomía NANDA.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Se realizará la evaluación de las expectativas del paciente.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9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 la descentralización de la gestión subyacen las siguientes premisas, señalar las correctas: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40" type="#_x0000_t75" style="width:20.25pt;height:17.25pt" o:ole="">
            <v:imagedata r:id="rId9" o:title=""/>
          </v:shape>
          <w:control r:id="rId44" w:name="DefaultOcxName41" w:shapeid="_x0000_i124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Autoridad y valoración.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0EF60E7A" wp14:editId="423E64F2">
                <wp:extent cx="304800" cy="304800"/>
                <wp:effectExtent l="0" t="0" r="0" b="0"/>
                <wp:docPr id="12" name="AutoShape 9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727BDED5" id="AutoShape 9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ORmulG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43" type="#_x0000_t75" style="width:20.25pt;height:17.25pt" o:ole="">
            <v:imagedata r:id="rId5" o:title=""/>
          </v:shape>
          <w:control r:id="rId45" w:name="DefaultOcxName42" w:shapeid="_x0000_i124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Autonomía e independencia.</w:t>
      </w:r>
    </w:p>
    <w:p w:rsidR="002651B1" w:rsidRPr="002012D8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highlight w:val="yellow"/>
          <w:lang w:eastAsia="es-ES"/>
        </w:rPr>
      </w:pPr>
      <w:r w:rsidRPr="002012D8">
        <w:rPr>
          <w:rFonts w:asciiTheme="majorHAnsi" w:eastAsia="Times New Roman" w:hAnsiTheme="majorHAnsi" w:cs="Arial"/>
          <w:color w:val="31708F"/>
          <w:highlight w:val="yellow"/>
        </w:rPr>
        <w:object w:dxaOrig="405" w:dyaOrig="345">
          <v:shape id="_x0000_i1246" type="#_x0000_t75" style="width:20.25pt;height:17.25pt" o:ole="">
            <v:imagedata r:id="rId5" o:title=""/>
          </v:shape>
          <w:control r:id="rId46" w:name="DefaultOcxName43" w:shapeid="_x0000_i1246"/>
        </w:object>
      </w:r>
      <w:r w:rsidRPr="002012D8">
        <w:rPr>
          <w:rFonts w:asciiTheme="majorHAnsi" w:eastAsia="Times New Roman" w:hAnsiTheme="majorHAnsi" w:cs="Arial"/>
          <w:color w:val="31708F"/>
          <w:highlight w:val="yellow"/>
          <w:lang w:eastAsia="es-ES"/>
        </w:rPr>
        <w:t>c. Responsabilidad y autoridad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lastRenderedPageBreak/>
        <w:object w:dxaOrig="405" w:dyaOrig="345">
          <v:shape id="_x0000_i1249" type="#_x0000_t75" style="width:20.25pt;height:17.25pt" o:ole="">
            <v:imagedata r:id="rId5" o:title=""/>
          </v:shape>
          <w:control r:id="rId47" w:name="DefaultOcxName44" w:shapeid="_x0000_i124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Evaluación de las competencias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Responsabilidad y autoridad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10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 la producción de los servicios sanitarios: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54" type="#_x0000_t75" style="width:20.25pt;height:17.25pt" o:ole="">
            <v:imagedata r:id="rId5" o:title=""/>
          </v:shape>
          <w:control r:id="rId48" w:name="DefaultOcxName46" w:shapeid="_x0000_i125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Es fácil encontrar unidades de medida que expresen la cantidad de los servicios producidos.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57" type="#_x0000_t75" style="width:20.25pt;height:17.25pt" o:ole="">
            <v:imagedata r:id="rId5" o:title=""/>
          </v:shape>
          <w:control r:id="rId49" w:name="DefaultOcxName47" w:shapeid="_x0000_i125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Los bienes y servicios son tangibles.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60" type="#_x0000_t75" style="width:20.25pt;height:17.25pt" o:ole="">
            <v:imagedata r:id="rId9" o:title=""/>
          </v:shape>
          <w:control r:id="rId50" w:name="DefaultOcxName48" w:shapeid="_x0000_i126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El producto se identifica con el servicio que se presta en cada momento.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7202F165" wp14:editId="6F3BE981">
                <wp:extent cx="304800" cy="304800"/>
                <wp:effectExtent l="0" t="0" r="0" b="0"/>
                <wp:docPr id="11" name="AutoShape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4622E8EC" id="AutoShape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SYKvAIAAMo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+iEmCrwCAADK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63" type="#_x0000_t75" style="width:20.25pt;height:17.25pt" o:ole="">
            <v:imagedata r:id="rId5" o:title=""/>
          </v:shape>
          <w:control r:id="rId51" w:name="DefaultOcxName49" w:shapeid="_x0000_i126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Los productos son muy homogéneos y estándar.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El producto se identifica con el servicio que se presta en cada momento.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11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Correcta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 un contrato de gestión no debe estar incluido: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68" type="#_x0000_t75" style="width:20.25pt;height:17.25pt" o:ole="">
            <v:imagedata r:id="rId5" o:title=""/>
          </v:shape>
          <w:control r:id="rId52" w:name="DefaultOcxName51" w:shapeid="_x0000_i126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a. La </w:t>
      </w:r>
      <w:proofErr w:type="spellStart"/>
      <w:r w:rsidRPr="006A75A9">
        <w:rPr>
          <w:rFonts w:asciiTheme="majorHAnsi" w:eastAsia="Times New Roman" w:hAnsiTheme="majorHAnsi" w:cs="Arial"/>
          <w:color w:val="31708F"/>
          <w:lang w:eastAsia="es-ES"/>
        </w:rPr>
        <w:t>prevision</w:t>
      </w:r>
      <w:proofErr w:type="spellEnd"/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 de la actividad asistencial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71" type="#_x0000_t75" style="width:20.25pt;height:17.25pt" o:ole="">
            <v:imagedata r:id="rId5" o:title=""/>
          </v:shape>
          <w:control r:id="rId53" w:name="DefaultOcxName52" w:shapeid="_x0000_i127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La cartera de servicios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74" type="#_x0000_t75" style="width:20.25pt;height:17.25pt" o:ole="">
            <v:imagedata r:id="rId9" o:title=""/>
          </v:shape>
          <w:control r:id="rId54" w:name="DefaultOcxName53" w:shapeid="_x0000_i127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Distribución del personal por turnos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4390BA16" wp14:editId="75F73C8C">
                <wp:extent cx="304800" cy="304800"/>
                <wp:effectExtent l="0" t="0" r="0" b="0"/>
                <wp:docPr id="10" name="AutoShape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66E7008C" id="AutoShape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nevAIAAMo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ASZ53rwCAADK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77" type="#_x0000_t75" style="width:20.25pt;height:17.25pt" o:ole="">
            <v:imagedata r:id="rId5" o:title=""/>
          </v:shape>
          <w:control r:id="rId55" w:name="DefaultOcxName54" w:shapeid="_x0000_i127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Propuesta de objetivos anuales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Distribución del personal por turnos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12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Entre las líneas estratégicas en la gestión de cuidados no se incluye: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82" type="#_x0000_t75" style="width:20.25pt;height:17.25pt" o:ole="">
            <v:imagedata r:id="rId9" o:title=""/>
          </v:shape>
          <w:control r:id="rId56" w:name="DefaultOcxName56" w:shapeid="_x0000_i128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Descentralizar los cuidados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73ADDCD2" wp14:editId="5042A745">
                <wp:extent cx="304800" cy="304800"/>
                <wp:effectExtent l="0" t="0" r="0" b="0"/>
                <wp:docPr id="9" name="AutoShape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65D8E7BE" id="AutoShape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nn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fkJ5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85" type="#_x0000_t75" style="width:20.25pt;height:17.25pt" o:ole="">
            <v:imagedata r:id="rId5" o:title=""/>
          </v:shape>
          <w:control r:id="rId57" w:name="DefaultOcxName57" w:shapeid="_x0000_i128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Desarrollar una política de recursos humanos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88" type="#_x0000_t75" style="width:20.25pt;height:17.25pt" o:ole="">
            <v:imagedata r:id="rId5" o:title=""/>
          </v:shape>
          <w:control r:id="rId58" w:name="DefaultOcxName58" w:shapeid="_x0000_i128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Instaurar un modelo de gestión por competencias.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91" type="#_x0000_t75" style="width:20.25pt;height:17.25pt" o:ole="">
            <v:imagedata r:id="rId5" o:title=""/>
          </v:shape>
          <w:control r:id="rId59" w:name="DefaultOcxName59" w:shapeid="_x0000_i129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Descentralizar la gestión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Descentralizar los cuidados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13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La capacidad de adaptación al entorno y de prever las demandas emergentes, se relaciona con: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96" type="#_x0000_t75" style="width:20.25pt;height:17.25pt" o:ole="">
            <v:imagedata r:id="rId5" o:title=""/>
          </v:shape>
          <w:control r:id="rId60" w:name="DefaultOcxName61" w:shapeid="_x0000_i1296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Calidad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299" type="#_x0000_t75" style="width:20.25pt;height:17.25pt" o:ole="">
            <v:imagedata r:id="rId5" o:title=""/>
          </v:shape>
          <w:control r:id="rId61" w:name="DefaultOcxName62" w:shapeid="_x0000_i129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Cooperación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lastRenderedPageBreak/>
        <w:object w:dxaOrig="405" w:dyaOrig="345">
          <v:shape id="_x0000_i1302" type="#_x0000_t75" style="width:20.25pt;height:17.25pt" o:ole="">
            <v:imagedata r:id="rId9" o:title=""/>
          </v:shape>
          <w:control r:id="rId62" w:name="DefaultOcxName63" w:shapeid="_x0000_i130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Innovación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16D44480" wp14:editId="0B7526BA">
                <wp:extent cx="304800" cy="304800"/>
                <wp:effectExtent l="0" t="0" r="0" b="0"/>
                <wp:docPr id="8" name="AutoShape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48C4F2DE" id="AutoShape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a/lYz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05" type="#_x0000_t75" style="width:20.25pt;height:17.25pt" o:ole="">
            <v:imagedata r:id="rId5" o:title=""/>
          </v:shape>
          <w:control r:id="rId63" w:name="DefaultOcxName64" w:shapeid="_x0000_i130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Improvisación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Innovación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14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La gestión de cuidados abarca tres niveles de decisión, en la gestión asistencial se incluye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10" type="#_x0000_t75" style="width:20.25pt;height:17.25pt" o:ole="">
            <v:imagedata r:id="rId5" o:title=""/>
          </v:shape>
          <w:control r:id="rId64" w:name="DefaultOcxName66" w:shapeid="_x0000_i131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El plan de cuidados individual.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13" type="#_x0000_t75" style="width:20.25pt;height:17.25pt" o:ole="">
            <v:imagedata r:id="rId9" o:title=""/>
          </v:shape>
          <w:control r:id="rId65" w:name="DefaultOcxName67" w:shapeid="_x0000_i131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La distribución del trabajo entre el personal.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52192EA6" wp14:editId="277881F2">
                <wp:extent cx="304800" cy="304800"/>
                <wp:effectExtent l="0" t="0" r="0" b="0"/>
                <wp:docPr id="7" name="AutoShape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1BE2A4F9" id="AutoShape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At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MkaA8lutta6T2jmGB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bFIgL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16" type="#_x0000_t75" style="width:20.25pt;height:17.25pt" o:ole="">
            <v:imagedata r:id="rId5" o:title=""/>
          </v:shape>
          <w:control r:id="rId66" w:name="DefaultOcxName68" w:shapeid="_x0000_i1316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Los costes de los cuidados.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19" type="#_x0000_t75" style="width:20.25pt;height:17.25pt" o:ole="">
            <v:imagedata r:id="rId5" o:title=""/>
          </v:shape>
          <w:control r:id="rId67" w:name="DefaultOcxName69" w:shapeid="_x0000_i131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d. El tipo de recursos materiales a </w:t>
      </w:r>
      <w:proofErr w:type="spellStart"/>
      <w:r w:rsidRPr="006A75A9">
        <w:rPr>
          <w:rFonts w:asciiTheme="majorHAnsi" w:eastAsia="Times New Roman" w:hAnsiTheme="majorHAnsi" w:cs="Arial"/>
          <w:color w:val="31708F"/>
          <w:lang w:eastAsia="es-ES"/>
        </w:rPr>
        <w:t>utilizer</w:t>
      </w:r>
      <w:proofErr w:type="spellEnd"/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La distribución del trabajo entre el personal.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15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La gestión por competencias es una herramienta estratégica para la: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24" type="#_x0000_t75" style="width:20.25pt;height:17.25pt" o:ole="">
            <v:imagedata r:id="rId5" o:title=""/>
          </v:shape>
          <w:control r:id="rId68" w:name="DefaultOcxName71" w:shapeid="_x0000_i132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Ser más competitivos y conseguir mayores logros para la organización.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27" type="#_x0000_t75" style="width:20.25pt;height:17.25pt" o:ole="">
            <v:imagedata r:id="rId9" o:title=""/>
          </v:shape>
          <w:control r:id="rId69" w:name="DefaultOcxName72" w:shapeid="_x0000_i132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La promoción de los que sobresalen en su desempeño.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2B6C4B98" wp14:editId="10B3DDD7">
                <wp:extent cx="304800" cy="304800"/>
                <wp:effectExtent l="0" t="0" r="0" b="0"/>
                <wp:docPr id="6" name="AutoShape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3FF0AEF1" id="AutoShape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X/5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l1V/+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30" type="#_x0000_t75" style="width:20.25pt;height:17.25pt" o:ole="">
            <v:imagedata r:id="rId5" o:title=""/>
          </v:shape>
          <w:control r:id="rId70" w:name="DefaultOcxName73" w:shapeid="_x0000_i133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Seleccionar a los mejores y despedir a los que tienen menor competencia.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33" type="#_x0000_t75" style="width:20.25pt;height:17.25pt" o:ole="">
            <v:imagedata r:id="rId5" o:title=""/>
          </v:shape>
          <w:control r:id="rId71" w:name="DefaultOcxName74" w:shapeid="_x0000_i133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Evaluar los objetivos pactados anuales.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La promoción de los que sobresalen en su desempeño.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16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La NIC o Clasificación de las intervenciones de enfermería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38" type="#_x0000_t75" style="width:20.25pt;height:17.25pt" o:ole="">
            <v:imagedata r:id="rId5" o:title=""/>
          </v:shape>
          <w:control r:id="rId72" w:name="DefaultOcxName76" w:shapeid="_x0000_i133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Incluye exclusivamente aspectos fisiológicos y sociales.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41" type="#_x0000_t75" style="width:20.25pt;height:17.25pt" o:ole="">
            <v:imagedata r:id="rId5" o:title=""/>
          </v:shape>
          <w:control r:id="rId73" w:name="DefaultOcxName77" w:shapeid="_x0000_i134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Las intervenciones están diseñadas para los individuos enfermos.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44" type="#_x0000_t75" style="width:20.25pt;height:17.25pt" o:ole="">
            <v:imagedata r:id="rId5" o:title=""/>
          </v:shape>
          <w:control r:id="rId74" w:name="DefaultOcxName78" w:shapeid="_x0000_i134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Las intervenciones hacen referencia a tratamientos por delegación de especialistas.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47" type="#_x0000_t75" style="width:20.25pt;height:17.25pt" o:ole="">
            <v:imagedata r:id="rId9" o:title=""/>
          </v:shape>
          <w:control r:id="rId75" w:name="DefaultOcxName79" w:shapeid="_x0000_i134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Incluye aspectos fisiológicos, psicológicos y sociales.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65FFB5C4" wp14:editId="257186C3">
                <wp:extent cx="304800" cy="304800"/>
                <wp:effectExtent l="0" t="0" r="0" b="0"/>
                <wp:docPr id="5" name="AutoShape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1E7188E2" id="AutoShape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+9e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21vvX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Incluye aspectos fisiológicos, psicológicos y sociales.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17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La puesta en marcha de un modelo de gestión de la división de enfermería, requiere tener definidos los siguientes elementos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52" type="#_x0000_t75" style="width:20.25pt;height:17.25pt" o:ole="">
            <v:imagedata r:id="rId5" o:title=""/>
          </v:shape>
          <w:control r:id="rId76" w:name="DefaultOcxName81" w:shapeid="_x0000_i135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a. La </w:t>
      </w:r>
      <w:proofErr w:type="spellStart"/>
      <w:r w:rsidRPr="006A75A9">
        <w:rPr>
          <w:rFonts w:asciiTheme="majorHAnsi" w:eastAsia="Times New Roman" w:hAnsiTheme="majorHAnsi" w:cs="Arial"/>
          <w:color w:val="31708F"/>
          <w:lang w:eastAsia="es-ES"/>
        </w:rPr>
        <w:t>vision</w:t>
      </w:r>
      <w:proofErr w:type="spellEnd"/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lastRenderedPageBreak/>
        <w:object w:dxaOrig="405" w:dyaOrig="345">
          <v:shape id="_x0000_i1355" type="#_x0000_t75" style="width:20.25pt;height:17.25pt" o:ole="">
            <v:imagedata r:id="rId5" o:title=""/>
          </v:shape>
          <w:control r:id="rId77" w:name="DefaultOcxName82" w:shapeid="_x0000_i135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 xml:space="preserve">b. La </w:t>
      </w:r>
      <w:proofErr w:type="spellStart"/>
      <w:r w:rsidRPr="006A75A9">
        <w:rPr>
          <w:rFonts w:asciiTheme="majorHAnsi" w:eastAsia="Times New Roman" w:hAnsiTheme="majorHAnsi" w:cs="Arial"/>
          <w:color w:val="31708F"/>
          <w:lang w:eastAsia="es-ES"/>
        </w:rPr>
        <w:t>estretegia</w:t>
      </w:r>
      <w:proofErr w:type="spellEnd"/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58" type="#_x0000_t75" style="width:20.25pt;height:17.25pt" o:ole="">
            <v:imagedata r:id="rId5" o:title=""/>
          </v:shape>
          <w:control r:id="rId78" w:name="DefaultOcxName83" w:shapeid="_x0000_i1358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Los procesos clave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61" type="#_x0000_t75" style="width:20.25pt;height:17.25pt" o:ole="">
            <v:imagedata r:id="rId9" o:title=""/>
          </v:shape>
          <w:control r:id="rId79" w:name="DefaultOcxName84" w:shapeid="_x0000_i1361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Todas son correctas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1A235BEB" wp14:editId="43E5EE03">
                <wp:extent cx="304800" cy="304800"/>
                <wp:effectExtent l="0" t="0" r="0" b="0"/>
                <wp:docPr id="4" name="AutoShape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7E6C3442" id="AutoShape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CK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hgJ2kOJ7rZWes8onmN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Fywi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Todas son correctas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18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Las comisiones de cuidados son: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66" type="#_x0000_t75" style="width:20.25pt;height:17.25pt" o:ole="">
            <v:imagedata r:id="rId5" o:title=""/>
          </v:shape>
          <w:control r:id="rId80" w:name="DefaultOcxName86" w:shapeid="_x0000_i1366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Un elemento clave para el desarrollo de la gestión de cuidados.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69" type="#_x0000_t75" style="width:20.25pt;height:17.25pt" o:ole="">
            <v:imagedata r:id="rId5" o:title=""/>
          </v:shape>
          <w:control r:id="rId81" w:name="DefaultOcxName87" w:shapeid="_x0000_i136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Deben estar constituidos por un grupo de expertos asistenciales y gestores.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72" type="#_x0000_t75" style="width:20.25pt;height:17.25pt" o:ole="">
            <v:imagedata r:id="rId5" o:title=""/>
          </v:shape>
          <w:control r:id="rId82" w:name="DefaultOcxName88" w:shapeid="_x0000_i1372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Se deben abordar todos los aspectos relacionados con la metodología de cuidados.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75" type="#_x0000_t75" style="width:20.25pt;height:17.25pt" o:ole="">
            <v:imagedata r:id="rId9" o:title=""/>
          </v:shape>
          <w:control r:id="rId83" w:name="DefaultOcxName89" w:shapeid="_x0000_i1375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Todas son correctas.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119A074D" wp14:editId="6F46B9D7">
                <wp:extent cx="304800" cy="304800"/>
                <wp:effectExtent l="0" t="0" r="0" b="0"/>
                <wp:docPr id="3" name="AutoShape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14123037" id="AutoShape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IuA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C9CLg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Todas son correctas.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19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Los diagnósticos de la NANDA se estructuran por patrones, entre los que se incluyen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80" type="#_x0000_t75" style="width:20.25pt;height:17.25pt" o:ole="">
            <v:imagedata r:id="rId9" o:title=""/>
          </v:shape>
          <w:control r:id="rId84" w:name="DefaultOcxName91" w:shapeid="_x0000_i138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Intercambio y relaciones.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759D209B" wp14:editId="3B7F654A">
                <wp:extent cx="304800" cy="304800"/>
                <wp:effectExtent l="0" t="0" r="0" b="0"/>
                <wp:docPr id="2" name="AutoShape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7B32321C" id="AutoShape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RU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8NfUV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83" type="#_x0000_t75" style="width:20.25pt;height:17.25pt" o:ole="">
            <v:imagedata r:id="rId5" o:title=""/>
          </v:shape>
          <w:control r:id="rId85" w:name="DefaultOcxName92" w:shapeid="_x0000_i138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Valores y ética.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86" type="#_x0000_t75" style="width:20.25pt;height:17.25pt" o:ole="">
            <v:imagedata r:id="rId5" o:title=""/>
          </v:shape>
          <w:control r:id="rId86" w:name="DefaultOcxName93" w:shapeid="_x0000_i1386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Motivación y percepción.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89" type="#_x0000_t75" style="width:20.25pt;height:17.25pt" o:ole="">
            <v:imagedata r:id="rId5" o:title=""/>
          </v:shape>
          <w:control r:id="rId87" w:name="DefaultOcxName94" w:shapeid="_x0000_i1389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Conocimiento y somatización.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Intercambio y relaciones.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ECEEEF"/>
        <w:spacing w:after="0" w:line="240" w:lineRule="auto"/>
        <w:jc w:val="both"/>
        <w:outlineLvl w:val="2"/>
        <w:rPr>
          <w:rFonts w:asciiTheme="majorHAnsi" w:eastAsia="Times New Roman" w:hAnsiTheme="majorHAnsi" w:cs="Arial"/>
          <w:color w:val="3A3A3A"/>
          <w:lang w:eastAsia="es-ES"/>
        </w:rPr>
      </w:pPr>
      <w:r w:rsidRPr="006A75A9">
        <w:rPr>
          <w:rFonts w:asciiTheme="majorHAnsi" w:eastAsia="Times New Roman" w:hAnsiTheme="majorHAnsi" w:cs="Arial"/>
          <w:color w:val="3A3A3A"/>
          <w:lang w:eastAsia="es-ES"/>
        </w:rPr>
        <w:t>Pregunta </w:t>
      </w:r>
      <w:r w:rsidRPr="006A75A9">
        <w:rPr>
          <w:rFonts w:asciiTheme="majorHAnsi" w:eastAsia="Times New Roman" w:hAnsiTheme="majorHAnsi" w:cs="Arial"/>
          <w:b/>
          <w:bCs/>
          <w:color w:val="3A3A3A"/>
          <w:lang w:eastAsia="es-ES"/>
        </w:rPr>
        <w:t>20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31708F"/>
          <w:lang w:eastAsia="es-ES"/>
        </w:rPr>
      </w:pPr>
      <w:bookmarkStart w:id="0" w:name="_GoBack"/>
      <w:bookmarkEnd w:id="0"/>
      <w:r w:rsidRPr="006A75A9">
        <w:rPr>
          <w:rFonts w:asciiTheme="majorHAnsi" w:eastAsia="Times New Roman" w:hAnsiTheme="majorHAnsi" w:cs="Arial"/>
          <w:color w:val="31708F"/>
          <w:lang w:eastAsia="es-ES"/>
        </w:rPr>
        <w:t>Enunciado de la pregunta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Para individualizar el plan de cuidados es necesario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  <w:lang w:eastAsia="es-ES"/>
        </w:rPr>
        <w:t>Seleccione una: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94" type="#_x0000_t75" style="width:20.25pt;height:17.25pt" o:ole="">
            <v:imagedata r:id="rId5" o:title=""/>
          </v:shape>
          <w:control r:id="rId88" w:name="DefaultOcxName96" w:shapeid="_x0000_i1394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a. Suprimir los problemas, objetivos y actividades que no son adecuados.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397" type="#_x0000_t75" style="width:20.25pt;height:17.25pt" o:ole="">
            <v:imagedata r:id="rId5" o:title=""/>
          </v:shape>
          <w:control r:id="rId89" w:name="DefaultOcxName97" w:shapeid="_x0000_i1397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b. Añadir problemas, objetivos y actividades que sean pertinentes.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0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400" type="#_x0000_t75" style="width:20.25pt;height:17.25pt" o:ole="">
            <v:imagedata r:id="rId5" o:title=""/>
          </v:shape>
          <w:control r:id="rId90" w:name="DefaultOcxName98" w:shapeid="_x0000_i1400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c. Evaluar el plan diariamente.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D9EDF7"/>
        <w:spacing w:after="72" w:line="240" w:lineRule="auto"/>
        <w:jc w:val="both"/>
        <w:rPr>
          <w:rFonts w:asciiTheme="majorHAnsi" w:eastAsia="Times New Roman" w:hAnsiTheme="majorHAnsi" w:cs="Arial"/>
          <w:color w:val="31708F"/>
          <w:lang w:eastAsia="es-ES"/>
        </w:rPr>
      </w:pPr>
      <w:r w:rsidRPr="006A75A9">
        <w:rPr>
          <w:rFonts w:asciiTheme="majorHAnsi" w:eastAsia="Times New Roman" w:hAnsiTheme="majorHAnsi" w:cs="Arial"/>
          <w:color w:val="31708F"/>
        </w:rPr>
        <w:object w:dxaOrig="405" w:dyaOrig="345">
          <v:shape id="_x0000_i1403" type="#_x0000_t75" style="width:20.25pt;height:17.25pt" o:ole="">
            <v:imagedata r:id="rId9" o:title=""/>
          </v:shape>
          <w:control r:id="rId91" w:name="DefaultOcxName99" w:shapeid="_x0000_i1403"/>
        </w:object>
      </w:r>
      <w:r w:rsidRPr="006A75A9">
        <w:rPr>
          <w:rFonts w:asciiTheme="majorHAnsi" w:eastAsia="Times New Roman" w:hAnsiTheme="majorHAnsi" w:cs="Arial"/>
          <w:color w:val="31708F"/>
          <w:lang w:eastAsia="es-ES"/>
        </w:rPr>
        <w:t>d. Todas son correctas. </w:t>
      </w:r>
      <w:r w:rsidRPr="006A75A9">
        <w:rPr>
          <w:noProof/>
          <w:lang w:eastAsia="es-ES"/>
        </w:rPr>
        <mc:AlternateContent>
          <mc:Choice Requires="wps">
            <w:drawing>
              <wp:inline distT="0" distB="0" distL="0" distR="0" wp14:anchorId="65678850" wp14:editId="3977CB14">
                <wp:extent cx="304800" cy="304800"/>
                <wp:effectExtent l="0" t="0" r="0" b="0"/>
                <wp:docPr id="1" name="AutoShape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rect w14:anchorId="6845F022" id="AutoShape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PT9fWy6AgAAyQ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after="100" w:afterAutospacing="1" w:line="240" w:lineRule="auto"/>
        <w:jc w:val="both"/>
        <w:outlineLvl w:val="3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Retroalimentación</w:t>
      </w:r>
    </w:p>
    <w:p w:rsidR="002651B1" w:rsidRPr="006A75A9" w:rsidRDefault="002651B1" w:rsidP="006A75A9">
      <w:pPr>
        <w:pStyle w:val="Prrafodelista"/>
        <w:numPr>
          <w:ilvl w:val="0"/>
          <w:numId w:val="3"/>
        </w:numPr>
        <w:shd w:val="clear" w:color="auto" w:fill="FCF8E3"/>
        <w:spacing w:line="240" w:lineRule="auto"/>
        <w:jc w:val="both"/>
        <w:rPr>
          <w:rFonts w:asciiTheme="majorHAnsi" w:eastAsia="Times New Roman" w:hAnsiTheme="majorHAnsi" w:cs="Arial"/>
          <w:color w:val="8A6D3B"/>
          <w:lang w:eastAsia="es-ES"/>
        </w:rPr>
      </w:pPr>
      <w:r w:rsidRPr="006A75A9">
        <w:rPr>
          <w:rFonts w:asciiTheme="majorHAnsi" w:eastAsia="Times New Roman" w:hAnsiTheme="majorHAnsi" w:cs="Arial"/>
          <w:color w:val="8A6D3B"/>
          <w:lang w:eastAsia="es-ES"/>
        </w:rPr>
        <w:t>La respuesta correcta es: Todas son correctas.</w:t>
      </w:r>
    </w:p>
    <w:p w:rsidR="00255826" w:rsidRPr="006A75A9" w:rsidRDefault="00255826" w:rsidP="006A75A9">
      <w:pPr>
        <w:spacing w:line="240" w:lineRule="auto"/>
        <w:jc w:val="both"/>
        <w:rPr>
          <w:rFonts w:asciiTheme="majorHAnsi" w:hAnsiTheme="majorHAnsi"/>
        </w:rPr>
      </w:pPr>
    </w:p>
    <w:sectPr w:rsidR="00255826" w:rsidRPr="006A75A9" w:rsidSect="006A75A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E598A"/>
    <w:multiLevelType w:val="hybridMultilevel"/>
    <w:tmpl w:val="BE1A7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A5EAE"/>
    <w:multiLevelType w:val="hybridMultilevel"/>
    <w:tmpl w:val="0AEE9718"/>
    <w:lvl w:ilvl="0" w:tplc="B9F800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665495"/>
    <w:multiLevelType w:val="hybridMultilevel"/>
    <w:tmpl w:val="3D6A9A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1B1"/>
    <w:rsid w:val="002012D8"/>
    <w:rsid w:val="00250371"/>
    <w:rsid w:val="00255826"/>
    <w:rsid w:val="002651B1"/>
    <w:rsid w:val="006A75A9"/>
    <w:rsid w:val="00867F83"/>
    <w:rsid w:val="0094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4:docId w14:val="13BDBC14"/>
  <w15:chartTrackingRefBased/>
  <w15:docId w15:val="{ABD8A210-C4EF-4CE9-8AAB-D3DCBAF6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A7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34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6781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981792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257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073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8836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688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429940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066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34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79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46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53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6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123594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902384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85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9951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498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295490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82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4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0630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257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892847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21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16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5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3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1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31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225301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883793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016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77000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3189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251225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527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23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7375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642496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01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0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56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81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18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33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78462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5424193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7901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80892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822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245013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16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240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5738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4604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282047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4422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4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10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48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1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2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662326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733448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9028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7509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86155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1330922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808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9017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4212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461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206836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499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8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07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85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14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7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1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486423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300510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195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21447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091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931324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394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95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8628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9100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890005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304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67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21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71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62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801546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372023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224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98691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6019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849168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708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403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0942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5051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833894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129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0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27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01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280957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803256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409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81031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344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202467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909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114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1994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5063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087092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08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7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0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86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80636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08070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625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706218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292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291840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754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096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96582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0969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1004445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6146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27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76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3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619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5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52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797606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6281753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22509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4997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0701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842357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183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156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9774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5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187580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4762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6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2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0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51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6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25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486504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859659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39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07911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098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971382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5785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807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3422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8218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236624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0240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9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4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98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15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25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3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891998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992308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547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70405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097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040162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116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6222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2039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412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794260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2915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6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0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16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830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56115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9755670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378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31739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378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394083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67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77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4427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354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273806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544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0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7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13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25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01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110284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64312050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95101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2986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2437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212380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74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52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1950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2987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499031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743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0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33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55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56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10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895040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9337791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509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39470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232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749921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057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79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144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9454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432648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9378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1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13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09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73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03046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9479335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230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07049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411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042909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233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639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664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1045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968791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0746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9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9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26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8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60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66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855636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5599549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6573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3935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372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480206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51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660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7262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6814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093304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1512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8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8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8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44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31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911109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639723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9675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015291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376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388503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48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2345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17356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294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89262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4098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0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0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65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21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01503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585331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9243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24797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68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501217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980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42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1513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814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769077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544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2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6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9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11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99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260887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500584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48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10903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726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895164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58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297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735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3935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170256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636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5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14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52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10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738547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033149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623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76" Type="http://schemas.openxmlformats.org/officeDocument/2006/relationships/control" Target="activeX/activeX69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7" Type="http://schemas.openxmlformats.org/officeDocument/2006/relationships/control" Target="activeX/activeX2.xml"/><Relationship Id="rId71" Type="http://schemas.openxmlformats.org/officeDocument/2006/relationships/control" Target="activeX/activeX64.xm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1" Type="http://schemas.openxmlformats.org/officeDocument/2006/relationships/control" Target="activeX/activeX5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5" Type="http://schemas.openxmlformats.org/officeDocument/2006/relationships/image" Target="media/image1.wmf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19" Type="http://schemas.openxmlformats.org/officeDocument/2006/relationships/control" Target="activeX/activeX12.xml"/><Relationship Id="rId14" Type="http://schemas.openxmlformats.org/officeDocument/2006/relationships/control" Target="activeX/activeX8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image" Target="media/image3.wmf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" Type="http://schemas.openxmlformats.org/officeDocument/2006/relationships/control" Target="activeX/activeX4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1791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Xana</dc:creator>
  <cp:keywords/>
  <dc:description/>
  <cp:lastModifiedBy>IRENE LORIDO HERAS</cp:lastModifiedBy>
  <cp:revision>2</cp:revision>
  <dcterms:created xsi:type="dcterms:W3CDTF">2017-04-19T16:21:00Z</dcterms:created>
  <dcterms:modified xsi:type="dcterms:W3CDTF">2017-05-20T13:42:00Z</dcterms:modified>
</cp:coreProperties>
</file>